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Default="00277DE1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hAnsi="Times New Roman" w:cs="Times New Roman"/>
          <w:sz w:val="24"/>
          <w:szCs w:val="24"/>
        </w:rPr>
        <w:br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77DE1" w:rsidRPr="007A6469" w:rsidRDefault="00277DE1" w:rsidP="00BB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«Шаралдай»</w:t>
      </w:r>
    </w:p>
    <w:p w:rsidR="00277DE1" w:rsidRPr="007A6469" w:rsidRDefault="00277DE1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25 декабря 2014г.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76</w:t>
      </w:r>
    </w:p>
    <w:p w:rsidR="00277DE1" w:rsidRPr="007A6469" w:rsidRDefault="00277DE1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DE1" w:rsidRDefault="00277DE1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277DE1" w:rsidRDefault="00277DE1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277DE1" w:rsidRDefault="00277DE1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277DE1" w:rsidRDefault="00277DE1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«ШАРАЛДАЙ»</w:t>
      </w:r>
    </w:p>
    <w:p w:rsidR="00277DE1" w:rsidRDefault="00277DE1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Pr="007A6469" w:rsidRDefault="00277DE1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277DE1" w:rsidRPr="00166BA0" w:rsidRDefault="00277DE1" w:rsidP="00166BA0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277DE1" w:rsidRDefault="00277DE1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277DE1" w:rsidRDefault="00277DE1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277DE1" w:rsidRDefault="00277DE1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277DE1" w:rsidRDefault="00277DE1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«Шаралдай»;</w:t>
      </w:r>
    </w:p>
    <w:p w:rsidR="00277DE1" w:rsidRDefault="00277DE1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277DE1" w:rsidRPr="007A6469" w:rsidRDefault="00277DE1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поселения, населения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7DE1" w:rsidRDefault="00277DE1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277DE1" w:rsidRDefault="00277DE1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277DE1" w:rsidRDefault="00277DE1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277DE1" w:rsidRPr="002409D0" w:rsidRDefault="00277DE1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«Шаралдай»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77DE1" w:rsidRPr="0003095B">
        <w:tc>
          <w:tcPr>
            <w:tcW w:w="2392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277DE1" w:rsidRPr="00DE5109" w:rsidRDefault="00277DE1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277DE1" w:rsidRDefault="00277DE1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277DE1" w:rsidRPr="0003095B">
        <w:tc>
          <w:tcPr>
            <w:tcW w:w="2676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277DE1" w:rsidRPr="0003095B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277DE1" w:rsidRDefault="00277DE1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277DE1" w:rsidRDefault="00277DE1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277DE1" w:rsidRPr="0003095B">
        <w:tc>
          <w:tcPr>
            <w:tcW w:w="2676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277DE1" w:rsidRPr="00C05A25" w:rsidRDefault="00277DE1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277DE1" w:rsidRPr="00D06C87" w:rsidRDefault="00277DE1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Шаралдай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277DE1" w:rsidRPr="0003095B">
        <w:tc>
          <w:tcPr>
            <w:tcW w:w="2676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277DE1" w:rsidRPr="0003095B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1" w:rsidRPr="0003095B" w:rsidRDefault="00277DE1" w:rsidP="000309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03095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277DE1" w:rsidRPr="00DA2A01" w:rsidRDefault="00277DE1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277DE1" w:rsidRPr="00565699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DE1" w:rsidRPr="00565699" w:rsidRDefault="00277DE1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7DE1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E1" w:rsidRDefault="00277DE1" w:rsidP="007A6469">
      <w:pPr>
        <w:spacing w:after="0" w:line="240" w:lineRule="auto"/>
      </w:pPr>
      <w:r>
        <w:separator/>
      </w:r>
    </w:p>
  </w:endnote>
  <w:endnote w:type="continuationSeparator" w:id="1">
    <w:p w:rsidR="00277DE1" w:rsidRDefault="00277DE1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E1" w:rsidRDefault="00277DE1" w:rsidP="007A6469">
      <w:pPr>
        <w:spacing w:after="0" w:line="240" w:lineRule="auto"/>
      </w:pPr>
      <w:r>
        <w:separator/>
      </w:r>
    </w:p>
  </w:footnote>
  <w:footnote w:type="continuationSeparator" w:id="1">
    <w:p w:rsidR="00277DE1" w:rsidRDefault="00277DE1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3DC978E9"/>
    <w:multiLevelType w:val="hybridMultilevel"/>
    <w:tmpl w:val="EEFE502C"/>
    <w:lvl w:ilvl="0" w:tplc="32D8CE0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3095B"/>
    <w:rsid w:val="00044051"/>
    <w:rsid w:val="00052C5A"/>
    <w:rsid w:val="00055B3F"/>
    <w:rsid w:val="00063630"/>
    <w:rsid w:val="00064C18"/>
    <w:rsid w:val="00082631"/>
    <w:rsid w:val="000A6559"/>
    <w:rsid w:val="000C3BB1"/>
    <w:rsid w:val="000E33F6"/>
    <w:rsid w:val="00107562"/>
    <w:rsid w:val="00111BDC"/>
    <w:rsid w:val="00113B2D"/>
    <w:rsid w:val="00136E4F"/>
    <w:rsid w:val="00166BA0"/>
    <w:rsid w:val="00185F0A"/>
    <w:rsid w:val="001A67B7"/>
    <w:rsid w:val="001A7A63"/>
    <w:rsid w:val="001B3669"/>
    <w:rsid w:val="001B7523"/>
    <w:rsid w:val="001B7B16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77DE1"/>
    <w:rsid w:val="00297CF3"/>
    <w:rsid w:val="002A5F20"/>
    <w:rsid w:val="002E2221"/>
    <w:rsid w:val="002E77B0"/>
    <w:rsid w:val="002F0BC3"/>
    <w:rsid w:val="00312944"/>
    <w:rsid w:val="00312BF1"/>
    <w:rsid w:val="00334B33"/>
    <w:rsid w:val="00335351"/>
    <w:rsid w:val="00350FED"/>
    <w:rsid w:val="003510AA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543BE"/>
    <w:rsid w:val="004932AA"/>
    <w:rsid w:val="004A4A19"/>
    <w:rsid w:val="004A7DFE"/>
    <w:rsid w:val="004B2390"/>
    <w:rsid w:val="004C0A2D"/>
    <w:rsid w:val="004D0E38"/>
    <w:rsid w:val="004D2B36"/>
    <w:rsid w:val="004D71EA"/>
    <w:rsid w:val="004F6BFC"/>
    <w:rsid w:val="005064C6"/>
    <w:rsid w:val="005233C5"/>
    <w:rsid w:val="00527F5F"/>
    <w:rsid w:val="00543451"/>
    <w:rsid w:val="00544175"/>
    <w:rsid w:val="00552829"/>
    <w:rsid w:val="00565699"/>
    <w:rsid w:val="00567298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35C4"/>
    <w:rsid w:val="00625681"/>
    <w:rsid w:val="00631022"/>
    <w:rsid w:val="00650249"/>
    <w:rsid w:val="00667464"/>
    <w:rsid w:val="00682AC8"/>
    <w:rsid w:val="00697E99"/>
    <w:rsid w:val="006B0D8B"/>
    <w:rsid w:val="006B7ABB"/>
    <w:rsid w:val="006C1187"/>
    <w:rsid w:val="006C1278"/>
    <w:rsid w:val="006D454C"/>
    <w:rsid w:val="006E151C"/>
    <w:rsid w:val="006E7EF3"/>
    <w:rsid w:val="00710B97"/>
    <w:rsid w:val="007149C5"/>
    <w:rsid w:val="0071551A"/>
    <w:rsid w:val="0073511C"/>
    <w:rsid w:val="00742FA0"/>
    <w:rsid w:val="00767186"/>
    <w:rsid w:val="00781360"/>
    <w:rsid w:val="0078346D"/>
    <w:rsid w:val="00784751"/>
    <w:rsid w:val="00793575"/>
    <w:rsid w:val="007A6469"/>
    <w:rsid w:val="007E082B"/>
    <w:rsid w:val="007F05B8"/>
    <w:rsid w:val="007F05D6"/>
    <w:rsid w:val="0080337F"/>
    <w:rsid w:val="00812154"/>
    <w:rsid w:val="00814107"/>
    <w:rsid w:val="00817607"/>
    <w:rsid w:val="008260EE"/>
    <w:rsid w:val="0083003B"/>
    <w:rsid w:val="00831DA9"/>
    <w:rsid w:val="00832FB4"/>
    <w:rsid w:val="00864530"/>
    <w:rsid w:val="00866298"/>
    <w:rsid w:val="00871D97"/>
    <w:rsid w:val="00874D28"/>
    <w:rsid w:val="00877314"/>
    <w:rsid w:val="008A1B14"/>
    <w:rsid w:val="008A6B04"/>
    <w:rsid w:val="008D1C57"/>
    <w:rsid w:val="008E1B82"/>
    <w:rsid w:val="008E2A81"/>
    <w:rsid w:val="008F595B"/>
    <w:rsid w:val="009273B1"/>
    <w:rsid w:val="00937CBC"/>
    <w:rsid w:val="00946508"/>
    <w:rsid w:val="009466FF"/>
    <w:rsid w:val="00947982"/>
    <w:rsid w:val="00957145"/>
    <w:rsid w:val="009661DE"/>
    <w:rsid w:val="009860D1"/>
    <w:rsid w:val="00997B98"/>
    <w:rsid w:val="009A24EA"/>
    <w:rsid w:val="009A2A39"/>
    <w:rsid w:val="009D0A77"/>
    <w:rsid w:val="00A05065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F15EF"/>
    <w:rsid w:val="00B04DD7"/>
    <w:rsid w:val="00B06589"/>
    <w:rsid w:val="00B1744E"/>
    <w:rsid w:val="00B2740F"/>
    <w:rsid w:val="00B530FA"/>
    <w:rsid w:val="00B615BF"/>
    <w:rsid w:val="00B61F6B"/>
    <w:rsid w:val="00B67902"/>
    <w:rsid w:val="00B950E8"/>
    <w:rsid w:val="00BA0D4B"/>
    <w:rsid w:val="00BB00D2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2083"/>
    <w:rsid w:val="00C038C3"/>
    <w:rsid w:val="00C05A25"/>
    <w:rsid w:val="00C2071A"/>
    <w:rsid w:val="00C30754"/>
    <w:rsid w:val="00C30FE5"/>
    <w:rsid w:val="00C6247C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70A36"/>
    <w:rsid w:val="00D949F6"/>
    <w:rsid w:val="00D97B22"/>
    <w:rsid w:val="00D97FB3"/>
    <w:rsid w:val="00DA2A01"/>
    <w:rsid w:val="00DB3B5E"/>
    <w:rsid w:val="00DC458C"/>
    <w:rsid w:val="00DD72CA"/>
    <w:rsid w:val="00DE04CB"/>
    <w:rsid w:val="00DE5109"/>
    <w:rsid w:val="00DE732C"/>
    <w:rsid w:val="00DF5611"/>
    <w:rsid w:val="00E1518E"/>
    <w:rsid w:val="00E25472"/>
    <w:rsid w:val="00E51235"/>
    <w:rsid w:val="00E65A3C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20A7B"/>
    <w:rsid w:val="00F310E0"/>
    <w:rsid w:val="00F4258A"/>
    <w:rsid w:val="00F7046D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30F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929</TotalTime>
  <Pages>7</Pages>
  <Words>1647</Words>
  <Characters>9388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175</cp:revision>
  <cp:lastPrinted>2014-12-15T04:35:00Z</cp:lastPrinted>
  <dcterms:created xsi:type="dcterms:W3CDTF">2014-09-08T02:52:00Z</dcterms:created>
  <dcterms:modified xsi:type="dcterms:W3CDTF">2015-09-29T12:41:00Z</dcterms:modified>
</cp:coreProperties>
</file>